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11"/>
        <w:gridCol w:w="792"/>
        <w:gridCol w:w="852"/>
        <w:gridCol w:w="1128"/>
        <w:gridCol w:w="70"/>
        <w:gridCol w:w="674"/>
        <w:gridCol w:w="1202"/>
        <w:gridCol w:w="356"/>
        <w:gridCol w:w="1276"/>
        <w:gridCol w:w="245"/>
        <w:gridCol w:w="1171"/>
        <w:gridCol w:w="454"/>
        <w:gridCol w:w="254"/>
        <w:gridCol w:w="569"/>
        <w:gridCol w:w="1314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Choroby wewnętrzne z elementami onkologii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11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9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72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11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11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713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anatomii, fizjologii, biochemii.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Przekazanie niezbędnych w pracy ratownika medycznego wiedzy i umiejętności z zakresu chorób wewnętrznych i onkologii z uwzględnieniem geriatrii.</w:t>
            </w:r>
          </w:p>
          <w:p>
            <w:pPr>
              <w:pStyle w:val="NormalWeb"/>
              <w:spacing w:beforeAutospacing="0" w:before="0" w:afterAutospacing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trakcie podejmowanych działań przestrzeganie praw pacjenta, okazanie empatii w relacji z pacjentem i jego rodziną oraz współpracownikami. Współdziałanie w ramach zespołu interdyscyplinarnego w rozwiązywaniu problemów medycznych i etycznych.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konwersatoryjny, elementy dyskusji dydaktycznej.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pokaz z instruktażem, pokaz z objaśnieniem, analiza przypadków.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pracowni, fantomy, plansze dydaktyczne.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13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76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C.W7. wybrane wady wrodzone i choroby uwarunkowane genetycznie;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pacing w:lineRule="auto" w:line="240" w:beforeAutospacing="1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C.W8.problemy wynikające z niepełnosprawności i chorób przewlekłych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C.W14. uwarunkowania środowiskowe i epidemiologiczne najczęstszych nowotworów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C.W15. zasady diagnozowania i postępowania terapeutycznego w opiece paliatywnej i najczęstsze problemy medycyny paliatywnej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C.W23. stany zagrożenia w chorobach nowotworowych i hematologicznych, zaburzeniach układu krzepnięcia, zespole wykrzepiania wewnątrznaczyniowego i ostrej białaczce oraz zasady postępowania przedszpitalnego w tych stanach;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C.W25. zasady badania przedmiotowego w zakresie niezbędnym do prowadzenia medycznych czynności ratunkowych i udzielania świadczeń zdrowotnych innych niż medyczne czynności ratunkowe;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przyczyny i rodzaje bólu w klatce piersiowej oraz jego diagnostykę 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7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problematykę ostrego zespołu wieńcowego, zawału serca, nadciśnienia tętniczego, rozwarstwienia aorty, niewydolności krążenia, ostrego niedokrwienia kończyny, obrzęku płuc i zatorowości płucnej;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C.W28. problematykę ostrej niewydolności oddechowej;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C.W29. przyczyny, objawy, zasady diagnozowania i postępowania terapeutycznego w zespole ostrej niewydolności oddechowej, zaostrzeniu przewlekłej obturacyjnej choroby płuc, astmie, ostrych stanach zapalnych dróg oddechowych i odmie opłucnowej;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C.W3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zasady diagnozowania i postępowania terapeutycznego w ostrej niewydolności nerek oraz jej przyczyny i objawy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C.W3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wybrane choroby przewodu pokarmowego;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C.W3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zagadnienia śpiączki metabolicznej i stanów nagłego zagrożenia w endokrynologii;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C.W3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 metody oceny stanu odżywienia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C.W3</w:t>
            </w:r>
            <w:r>
              <w:rPr>
                <w:rFonts w:ascii="Times New Roman" w:hAnsi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przyczyny, objawy, zasady diagnozowania i postępowania profilaktycznego w najczęstszych chorobach bakteryjnych, wirusowych, pasożytniczych i grzybicach, w tym zakażeniach pneumokokowych i meningokokowych, wirusowym zapaleniu wątroby, nabytym niedoborze odporności AIDS, sepsie i zakażeniach szpitalnych;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C.W5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 przyczyny i objawy nagłego zatrzymania krążenia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</w:t>
            </w:r>
            <w:r>
              <w:rPr>
                <w:rFonts w:ascii="Times New Roman" w:hAnsi="Times New Roman"/>
                <w:sz w:val="20"/>
                <w:szCs w:val="20"/>
              </w:rPr>
              <w:t>63</w:t>
            </w:r>
            <w:r>
              <w:rPr>
                <w:rFonts w:ascii="Times New Roman" w:hAnsi="Times New Roman"/>
                <w:sz w:val="20"/>
                <w:szCs w:val="20"/>
              </w:rPr>
              <w:t>. zasady monitorowania czynności układu oddechowego i układu krążenia metodami nieinwazyjnymi;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C.W7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. objawy i rodzaje odmy opłucnowej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C.W81. stany zagrożenia w chorobach nowotworowych oraz postępowanie przedszpitalne i w SOR w przypadku takich zagrożeń;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9. zaburzenia równowagi kwasowo-zasadowej i wodno-elektrolitowej oraz zasady postępowania przedszpitalnego i w SOR w takich zaburzeniach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7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C.U1. ocenia stan pacjenta w celu ustalenia sposobu postępowania ratunkowego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 układać pacjenta do badania obrazowego;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C.U4. przeprowadzać badanie przedmiotowe pacjenta;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C.U7. przeprowadzić wywiad medyczny z pacjentem dorosłym w zakresie niezbędnym do podjęcia medycznych czynności ratunkowych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C.U10. przeprowadzać badanie fizykalne pacjenta dorosłego w zakresie niezbędnym do ustalenia jego stanu;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C.U11 monitoruje czynność układu oddechowego z uwzględnieniem pulsoksymetrii, kapnometrii i kapnografii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C.U12. interpretować wyniki badań pacjenta z przewlekłą niewydolnością oddechową;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C.U13. wykonywać badanie elektrokardiograficzne (EKG) i interpretować go w podstawowym zakresie;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C.U14 monitoruje czynność układu krążenia metodami nieinwazyjnymi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C.U16. przeprowadzić  analizę ewentualnych działań niepożądanych poszczególnych produktów leczniczych oraz interakcji między nimi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C.U20. podawać pacjentowi leki i płyny;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C.U23. założyć cewnik do pęcherza moczowego;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C.U33. zinterpretować wyniki podstawowych badań toksykologicznych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C.U34. rozpoznaje toksydromy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47" w:hRule="atLeast"/>
        </w:trPr>
        <w:tc>
          <w:tcPr>
            <w:tcW w:w="25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792" w:hRule="atLeast"/>
        </w:trPr>
        <w:tc>
          <w:tcPr>
            <w:tcW w:w="2555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92" w:hRule="atLeast"/>
        </w:trPr>
        <w:tc>
          <w:tcPr>
            <w:tcW w:w="2555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K.4.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2137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88" w:hRule="atLeast"/>
        </w:trPr>
        <w:tc>
          <w:tcPr>
            <w:tcW w:w="2555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57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2137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13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Stany zagrożenia życia w gastroenterologii .</w:t>
            </w:r>
          </w:p>
        </w:tc>
        <w:tc>
          <w:tcPr>
            <w:tcW w:w="2137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  <w:t>Żółtaczki.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  <w:t>Diagnostyka USG w chorobach wewnętrznych.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  <w:t>Niewydolność nerek, stany zagrożenia życia w nefrologii.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  <w:t>Choroby nowotworowe - uwarunkowania środowiskowe i epidemiologiczne.  Medycyna paliatywna - zakres działań.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  <w:t>Onkologia w gastroenterologii i nefrologii.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  <w:t>Zaburzenia krzepnięcia Wybrane choroby krwi 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  <w:t>Choroby gruczołów wydzielania wewnętrznego.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  <w:t>Choroby tarczycy.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  <w:t>Cukrzyca.</w:t>
            </w:r>
          </w:p>
        </w:tc>
        <w:tc>
          <w:tcPr>
            <w:tcW w:w="2137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pl-PL"/>
              </w:rPr>
              <w:t>Choroby nadnerczy.</w:t>
            </w:r>
          </w:p>
        </w:tc>
        <w:tc>
          <w:tcPr>
            <w:tcW w:w="2137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Zatrucia.</w:t>
            </w:r>
          </w:p>
        </w:tc>
        <w:tc>
          <w:tcPr>
            <w:tcW w:w="2137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Zator tętnicy płucnej.</w:t>
            </w:r>
          </w:p>
        </w:tc>
        <w:tc>
          <w:tcPr>
            <w:tcW w:w="2137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Wywiad i badanie fizykalne w gastroenterologii</w:t>
            </w:r>
          </w:p>
        </w:tc>
        <w:tc>
          <w:tcPr>
            <w:tcW w:w="2137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Stany zagrożenia życia w gastroenterologii - postępowanie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Żółtaczki- ćwiczenia praktyczne USG i diagnostyka obrazowa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Niewydolność nerek; stany zagrożenia życia w nefrologii - postępowanie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Chory onkologiczny - zasady diagnozowania i postępowania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Zasady postępowania ratunkowego w przypadku pacjenta w stanie terminalnym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Zaburzenia krzepnięcia krwi diagnostyka i postępowanie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Choroby krwi - diagnostyka i postępowanie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Chory endokrynologiczny- wywiad i badanie fizykalne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Choroby tarczycy - diagnostyka i postępowanie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Cukrzyca - diagnostyka i postępowanie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Choroby nadnerczy - diagnostyka i postępowanie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Zatrucia - postępowanie</w:t>
            </w:r>
          </w:p>
        </w:tc>
        <w:tc>
          <w:tcPr>
            <w:tcW w:w="2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egzamin pisemny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ocenianie ciągłe, zaliczenie pisemne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hanging="360" w:left="373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 .Gajewski, A. Szczeklik –Interna Szczeklika Wyd . Medycyna Praktyczna 2019</w:t>
            </w:r>
          </w:p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hanging="360" w:left="373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Choroby Wewnętrzne –Wiesława Duda-Król Marcin Wełnicki Artur Mancarz Wyd. PZWL 2019</w:t>
            </w:r>
          </w:p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hanging="360" w:left="373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Choroby Wewnętrzne – Johannes -Martin Hahn Wyd. MedPh 2015</w:t>
            </w:r>
          </w:p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hanging="360" w:left="373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Choroby Wewnętrzne -Franciszek Kokot Wydawnictwo PZWL 20016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hanging="360" w:left="373"/>
              <w:contextualSpacing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Interna Szczeklika 2021, Wydawca: Medycyna Praktyczna, 2021</w:t>
            </w:r>
          </w:p>
          <w:p>
            <w:pPr>
              <w:pStyle w:val="ListParagraph"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hanging="360" w:left="373"/>
              <w:contextualSpacing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Wyroby medyczne: zaopatrzenie indywidualne, redakcja naukowa K. Gieremek, S. Janicki, B. Przeździak, M. Woźniewski, Wydawnictwo Lekarskie PZWL, Warszawa 2016.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Application>LibreOffice/25.8.5.2$Windows_X86_64 LibreOffice_project/9c8b85f387cc00a89945a79c9e6239f32e450ac2</Application>
  <AppVersion>15.0000</AppVersion>
  <DocSecurity>0</DocSecurity>
  <Pages>4</Pages>
  <Words>1393</Words>
  <Characters>10036</Characters>
  <CharactersWithSpaces>11218</CharactersWithSpaces>
  <Paragraphs>230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2026-03-26T09:45:03Z</dcterms:modified>
  <cp:revision>196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